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D9" w:rsidRDefault="006371D9" w:rsidP="004A3A1C"/>
    <w:p w:rsidR="006371D9" w:rsidRDefault="006371D9" w:rsidP="004A3A1C">
      <w:r>
        <w:rPr>
          <w:noProof/>
          <w:lang w:eastAsia="ru-RU"/>
        </w:rPr>
        <w:drawing>
          <wp:inline distT="0" distB="0" distL="0" distR="0">
            <wp:extent cx="5940425" cy="8924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оложения об оценке коррупционных рисков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bookmarkStart w:id="0" w:name="_GoBack"/>
      <w:bookmarkEnd w:id="0"/>
      <w:r w:rsidRPr="000B621D">
        <w:rPr>
          <w:rFonts w:eastAsia="Times New Roman" w:cs="Calibri"/>
          <w:color w:val="auto"/>
          <w:sz w:val="28"/>
          <w:szCs w:val="22"/>
        </w:rPr>
        <w:lastRenderedPageBreak/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>
        <w:rPr>
          <w:rFonts w:cs="Calibri"/>
          <w:sz w:val="28"/>
          <w:szCs w:val="22"/>
          <w:lang w:eastAsia="en-US"/>
        </w:rPr>
        <w:t>Учреждении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Учреждения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1302EB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="00D706D9" w:rsidRPr="001302EB">
        <w:rPr>
          <w:i/>
        </w:rPr>
        <w:t xml:space="preserve">(например, </w:t>
      </w:r>
      <w:r>
        <w:rPr>
          <w:i/>
        </w:rPr>
        <w:t>представление сведений о доходах, имуществе и обязательствах имущественного характера).</w:t>
      </w:r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согласование с органом исполнительной государственной власти области</w:t>
      </w:r>
      <w:r>
        <w:rPr>
          <w:rFonts w:cs="Times New Roman"/>
        </w:rPr>
        <w:t xml:space="preserve"> (органом местного самоуправления),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lastRenderedPageBreak/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Учреждения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>
        <w:t>, и утверждается руководителем Учреждения.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Учреждения,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>коррупции в У</w:t>
      </w:r>
      <w:r w:rsidRPr="00EA31D6">
        <w:rPr>
          <w:rFonts w:cs="Times New Roman"/>
        </w:rPr>
        <w:t xml:space="preserve">чреждении. </w:t>
      </w:r>
    </w:p>
    <w:p w:rsidR="00F403AF" w:rsidRDefault="00953888" w:rsidP="00411DEF">
      <w:pPr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1C2E8F" w:rsidRDefault="00020006" w:rsidP="00020006">
      <w:pPr>
        <w:ind w:firstLine="708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C90327" w:rsidRPr="001C2E8F">
        <w:rPr>
          <w:szCs w:val="28"/>
        </w:rPr>
        <w:t xml:space="preserve">Приложение 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FC0096" w:rsidRDefault="00FC0096" w:rsidP="00FC0096">
      <w:pPr>
        <w:ind w:firstLine="708"/>
        <w:jc w:val="right"/>
      </w:pPr>
      <w:r>
        <w:rPr>
          <w:szCs w:val="28"/>
        </w:rPr>
        <w:t xml:space="preserve">                                                                                                                             </w:t>
      </w:r>
      <w:r w:rsidR="00411DEF" w:rsidRPr="001C2E8F">
        <w:rPr>
          <w:szCs w:val="28"/>
        </w:rPr>
        <w:t xml:space="preserve">коррупционных рисков в </w:t>
      </w:r>
      <w:r>
        <w:t xml:space="preserve">муниципальном                автономном общеобразовательном учреждении </w:t>
      </w:r>
    </w:p>
    <w:p w:rsidR="00FC0096" w:rsidRPr="00FC0096" w:rsidRDefault="00FC0096" w:rsidP="00FC0096">
      <w:pPr>
        <w:ind w:firstLine="708"/>
        <w:jc w:val="right"/>
        <w:rPr>
          <w:i/>
          <w:szCs w:val="28"/>
        </w:rPr>
      </w:pPr>
      <w:r>
        <w:t>«Средняя общеобразовательная школа №13»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Pr="007235F2" w:rsidRDefault="007235F2" w:rsidP="007235F2">
      <w:pPr>
        <w:jc w:val="both"/>
        <w:rPr>
          <w:szCs w:val="28"/>
        </w:rPr>
      </w:pPr>
      <w:r w:rsidRPr="007235F2">
        <w:rPr>
          <w:sz w:val="24"/>
          <w:szCs w:val="24"/>
        </w:rPr>
        <w:t xml:space="preserve"> </w:t>
      </w:r>
      <w:r w:rsidRPr="007235F2">
        <w:rPr>
          <w:szCs w:val="28"/>
        </w:rPr>
        <w:t>Муниципальное автономное общеобразовательное учреждение «Средняя общеобразовательная школа №13»</w:t>
      </w:r>
    </w:p>
    <w:p w:rsidR="00AA782C" w:rsidRPr="005D1FCD" w:rsidRDefault="00AA782C" w:rsidP="00AA782C">
      <w:pPr>
        <w:rPr>
          <w:sz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172C2"/>
    <w:rsid w:val="00020006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273E5"/>
    <w:rsid w:val="003A7F44"/>
    <w:rsid w:val="003E30C0"/>
    <w:rsid w:val="003E6683"/>
    <w:rsid w:val="00411DEF"/>
    <w:rsid w:val="00415C47"/>
    <w:rsid w:val="004A3A1C"/>
    <w:rsid w:val="004C6A51"/>
    <w:rsid w:val="004E3754"/>
    <w:rsid w:val="004F59CC"/>
    <w:rsid w:val="00533FA5"/>
    <w:rsid w:val="00565AB7"/>
    <w:rsid w:val="0057411F"/>
    <w:rsid w:val="005D1FCD"/>
    <w:rsid w:val="00613595"/>
    <w:rsid w:val="006371D9"/>
    <w:rsid w:val="00671372"/>
    <w:rsid w:val="006E1244"/>
    <w:rsid w:val="006E277B"/>
    <w:rsid w:val="006F5248"/>
    <w:rsid w:val="007235F2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5086A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57476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35885"/>
    <w:rsid w:val="00BE3DCD"/>
    <w:rsid w:val="00C51191"/>
    <w:rsid w:val="00C56DD0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47FEC"/>
    <w:rsid w:val="00E71F9C"/>
    <w:rsid w:val="00EA31D6"/>
    <w:rsid w:val="00EA38A4"/>
    <w:rsid w:val="00EB4172"/>
    <w:rsid w:val="00EE5E6B"/>
    <w:rsid w:val="00F403AF"/>
    <w:rsid w:val="00FA3BB6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96D6"/>
  <w15:docId w15:val="{F8174F8E-377F-4197-8E64-A0BD5720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Svetlana</cp:lastModifiedBy>
  <cp:revision>16</cp:revision>
  <cp:lastPrinted>2019-02-12T08:57:00Z</cp:lastPrinted>
  <dcterms:created xsi:type="dcterms:W3CDTF">2018-10-18T09:49:00Z</dcterms:created>
  <dcterms:modified xsi:type="dcterms:W3CDTF">2019-02-12T16:56:00Z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1880652850</vt:i4>
  </property>
  <property fmtid="{D5CDD505-2E9C-101B-9397-08002B2CF9AE}" pid="3" name="_NewReviewCycle">
    <vt:lpwstr/>
  </property>
  <property fmtid="{D5CDD505-2E9C-101B-9397-08002B2CF9AE}" pid="4" name="_EmailSubject">
    <vt:lpwstr>типовые формы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ReviewingToolsShownOnce">
    <vt:lpwstr/>
  </property>
</Properties>
</file>